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  <w:t xml:space="preserve">EMERGENZA CORONAVIRUS: LE MODIFICHE CHIESTE DALL’INTERSINDACALE DELLA DIRIGENZA MEDICA, </w:t>
      </w:r>
    </w:p>
    <w:p>
      <w:pPr>
        <w:spacing w:before="0" w:after="0" w:line="36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  <w:t xml:space="preserve">VETERINARIA E SANITARIA AI DECRETI DEL GOVERNO </w:t>
      </w:r>
    </w:p>
    <w:p>
      <w:pPr>
        <w:spacing w:before="0" w:after="0" w:line="30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24 marzo 2020</w:t>
      </w:r>
    </w:p>
    <w:p>
      <w:pPr>
        <w:spacing w:before="0" w:after="0" w:line="30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ESCLUDERE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 la responsabilità penale e civile degli esercenti le professioni sanitarie per eventi avversi verificatisi nel periodo dell’emergenza epidemica.</w:t>
      </w:r>
    </w:p>
    <w:p>
      <w:pPr>
        <w:tabs>
          <w:tab w:val="left" w:pos="2946" w:leader="none"/>
        </w:tabs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ab/>
      </w:r>
    </w:p>
    <w:p>
      <w:pPr>
        <w:numPr>
          <w:ilvl w:val="0"/>
          <w:numId w:val="5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RISPETTARE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 le norme nazionali e comunitarie sui DPI e tutte le tutele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di legge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previste per il personale sanitario, modificando l’articolo 34 del Decreto Legge 2 marzo 2020, n. 9.</w:t>
      </w:r>
    </w:p>
    <w:p>
      <w:pPr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RENDERE OBBLIGATORIO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, attraverso modifiche all’articolo 7 del Decreto Legge 9 marzo 2020, n.14, l'isolamento fiduciario per 72 ore degli operatori sanitari che siano stati, senza idonea protezione, a stretto contatto di pazienti COVID-19, sottoponendoli a tampone prima della scadenza del periodo per decidere sul proseguimento della quarantena.</w:t>
      </w:r>
    </w:p>
    <w:p>
      <w:pPr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numPr>
          <w:ilvl w:val="0"/>
          <w:numId w:val="9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ASSUMERE SPECIALISTI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con</w:t>
      </w: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rapporti di lavoro strutturati, a tempo indeterminato o determinato con successiva stabilizzazione, attingendo da graduatorie esistenti o mediante avvisi pubblici da effettuare con procedure semplificate di durata non superiore a 7 giorni.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EVITARE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contratti libero- professionali “usa e getta” poiché scarsamente attrattivi. </w:t>
      </w:r>
    </w:p>
    <w:p>
      <w:pPr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numPr>
          <w:ilvl w:val="0"/>
          <w:numId w:val="11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ASSUMERE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a tempo determinato, con procedure semplificate, </w:t>
      </w: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MEDICI SPECIALIZZANDI del IV e V anno</w:t>
      </w:r>
      <w:r>
        <w:rPr>
          <w:rFonts w:ascii="Arial" w:hAnsi="Arial" w:cs="Arial" w:eastAsia="Arial"/>
          <w:color w:val="C00000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di corso, senza limitazioni alle strutture della rete formativa, non previste dalla normativa vigente e non compatibili con lo stato di emergenza generale, con passaggio a tempo indeterminato una volta acquisito il titolo.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CONVERTIRE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gli eventuali contratti libero-professionali in contratti a tempo determinato.</w:t>
      </w:r>
    </w:p>
    <w:p>
      <w:pPr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numPr>
          <w:ilvl w:val="0"/>
          <w:numId w:val="13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AUMENTARE I CONTRATTI DI FORMAZIONE POST LAUREA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con l'ulteriore spesa di 125 milioni di euro per ciascuno degli anni 2020 e 2021 e di 130 milioni di euro per ciascuno degli anni 2022, 2023 e 2024, per portare l’offerta formativa dagli attuali 9.000 a 14.000 contratti.</w:t>
      </w:r>
      <w:r>
        <w:rPr>
          <w:rFonts w:ascii="Arial" w:hAnsi="Arial" w:cs="Arial" w:eastAsia="Arial"/>
          <w:i/>
          <w:color w:val="000000"/>
          <w:spacing w:val="0"/>
          <w:position w:val="0"/>
          <w:sz w:val="26"/>
          <w:u w:val="single"/>
          <w:shd w:fill="auto" w:val="clear"/>
        </w:rPr>
        <w:t xml:space="preserve"> </w:t>
      </w:r>
    </w:p>
    <w:p>
      <w:pPr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numPr>
          <w:ilvl w:val="0"/>
          <w:numId w:val="16"/>
        </w:numPr>
        <w:spacing w:before="0" w:after="0" w:line="30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6"/>
          <w:u w:val="single"/>
          <w:shd w:fill="auto" w:val="clear"/>
        </w:rPr>
        <w:t xml:space="preserve">CORRISPONDERE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ai sanitari esposti una indennità di rischio biologico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. </w:t>
      </w:r>
    </w:p>
    <w:p>
      <w:pPr>
        <w:spacing w:before="0" w:after="0" w:line="30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